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0"/>
        <w:rPr>
          <w:b/>
          <w:sz w:val="36"/>
          <w:szCs w:val="36"/>
          <w:u w:val="single"/>
        </w:rPr>
      </w:pPr>
      <w:r>
        <w:rPr>
          <w:b/>
          <w:sz w:val="36"/>
          <w:szCs w:val="36"/>
          <w:u w:val="single"/>
        </w:rPr>
        <w:t>Présentation des différents points concernant le fonctionnement concret de la Doume</w:t>
      </w:r>
    </w:p>
    <w:p>
      <w:pPr>
        <w:pStyle w:val="style0"/>
        <w:rPr/>
      </w:pPr>
      <w:r>
        <w:rPr/>
        <w:br/>
        <w:t xml:space="preserve">A part le sujet « taux de reconversion par les prestataires » qui sera traité séparément, nous vous proposons 7 sujets concernant le fonctionnement concret de la Doume, à discuter pendant l’AG du 14 juin 2014. On vous présente le sujet et après, on vous donne une proposition à amender et / ou à voter. </w:t>
      </w:r>
    </w:p>
    <w:p>
      <w:pPr>
        <w:pStyle w:val="style25"/>
        <w:numPr>
          <w:ilvl w:val="0"/>
          <w:numId w:val="2"/>
        </w:numPr>
        <w:ind w:hanging="360" w:left="0" w:right="0"/>
        <w:rPr/>
      </w:pPr>
      <w:r>
        <w:rPr>
          <w:b/>
          <w:sz w:val="28"/>
          <w:szCs w:val="28"/>
          <w:u w:val="single"/>
        </w:rPr>
        <w:t>Dépôt euro par les comptoirs</w:t>
      </w:r>
      <w:r>
        <w:rPr>
          <w:rFonts w:ascii="Calibri" w:cs="Times New Roman" w:eastAsia="Calibri" w:hAnsi="Calibri"/>
        </w:rPr>
        <w:br/>
      </w:r>
      <w:r>
        <w:rPr/>
        <w:t>Nous vous présentons ce sujet pendant l’AG, ce n’était pas possible de rassembler tous les détails avant la date butoir d’envoie de ce document.</w:t>
        <w:br/>
      </w:r>
    </w:p>
    <w:p>
      <w:pPr>
        <w:pStyle w:val="style25"/>
        <w:numPr>
          <w:ilvl w:val="0"/>
          <w:numId w:val="2"/>
        </w:numPr>
        <w:spacing w:after="0" w:before="0"/>
        <w:ind w:hanging="709" w:left="709" w:right="0"/>
        <w:contextualSpacing/>
        <w:rPr>
          <w:b/>
          <w:sz w:val="28"/>
          <w:szCs w:val="28"/>
          <w:u w:val="single"/>
        </w:rPr>
      </w:pPr>
      <w:r>
        <w:rPr>
          <w:b/>
          <w:sz w:val="28"/>
          <w:szCs w:val="28"/>
          <w:u w:val="single"/>
        </w:rPr>
        <w:t>Reconversion par les utilisateurs</w:t>
      </w:r>
    </w:p>
    <w:p>
      <w:pPr>
        <w:pStyle w:val="style0"/>
        <w:spacing w:after="0" w:before="0"/>
        <w:contextualSpacing w:val="false"/>
        <w:rPr/>
      </w:pPr>
      <w:r>
        <w:rPr/>
        <w:t>Nous n’avions pas le temps de discuter la reconversion par les utilisateurs pendant le dernier AG, bien qu’il y avait une proposition favorable.</w:t>
      </w:r>
    </w:p>
    <w:p>
      <w:pPr>
        <w:pStyle w:val="style0"/>
        <w:spacing w:after="0" w:before="0"/>
        <w:contextualSpacing w:val="false"/>
        <w:rPr/>
      </w:pPr>
      <w:r>
        <w:rPr/>
        <w:t xml:space="preserve">Pour le moment, officiellement, les MLC sont considérés comme des tickets restaurant, chèques vacances, où les utilisateurs ne peuvent pas reconvertir en euro. Environ 20% des MLC autorisent quand même leurs utilisateurs à reconvertir. Nous ne savons pas ce que va changer la nouvelle loi qui doit voir le jour en juillet 2014. </w:t>
      </w:r>
    </w:p>
    <w:p>
      <w:pPr>
        <w:pStyle w:val="style25"/>
        <w:numPr>
          <w:ilvl w:val="0"/>
          <w:numId w:val="1"/>
        </w:numPr>
        <w:spacing w:after="0" w:before="0"/>
        <w:contextualSpacing/>
        <w:rPr>
          <w:b/>
        </w:rPr>
      </w:pPr>
      <w:r>
        <w:rPr>
          <w:b/>
        </w:rPr>
        <w:t>Nous attendons la nouvelle loi avant de préparer la discussion et de prendre une décision</w:t>
      </w:r>
    </w:p>
    <w:p>
      <w:pPr>
        <w:pStyle w:val="style0"/>
        <w:spacing w:after="0" w:before="0"/>
        <w:contextualSpacing w:val="false"/>
        <w:rPr>
          <w:b/>
        </w:rPr>
      </w:pPr>
      <w:r>
        <w:rPr>
          <w:b/>
        </w:rPr>
      </w:r>
    </w:p>
    <w:p>
      <w:pPr>
        <w:pStyle w:val="style25"/>
        <w:numPr>
          <w:ilvl w:val="0"/>
          <w:numId w:val="2"/>
        </w:numPr>
        <w:ind w:hanging="360" w:left="0" w:right="0"/>
        <w:rPr>
          <w:rFonts w:ascii="Calibri" w:cs="Times New Roman" w:eastAsia="Calibri" w:hAnsi="Calibri"/>
        </w:rPr>
      </w:pPr>
      <w:r>
        <w:rPr>
          <w:b/>
          <w:sz w:val="28"/>
          <w:szCs w:val="28"/>
          <w:u w:val="single"/>
        </w:rPr>
        <w:t>Procédure d’acceptation et renouvellement des prestataires</w:t>
      </w:r>
      <w:r>
        <w:rPr>
          <w:rFonts w:ascii="Calibri" w:cs="Times New Roman" w:eastAsia="Calibri" w:hAnsi="Calibri"/>
        </w:rPr>
        <w:br/>
        <w:t>- le groupe local dans le bassin de vie fait des propositions et le CA valide</w:t>
        <w:br/>
        <w:t>- il faut un représentant de chaque groupe local au CA</w:t>
        <w:br/>
        <w:t xml:space="preserve">- pour l’acceptation nous utilisons le questionnaire et le </w:t>
      </w:r>
      <w:r>
        <w:rPr/>
        <w:t>défi</w:t>
      </w:r>
      <w:r>
        <w:rPr>
          <w:rFonts w:ascii="Calibri" w:cs="Times New Roman" w:eastAsia="Calibri" w:hAnsi="Calibri"/>
        </w:rPr>
        <w:t xml:space="preserve"> annuel proposé comme base</w:t>
        <w:br/>
        <w:t xml:space="preserve">- le résultat du </w:t>
      </w:r>
      <w:r>
        <w:rPr/>
        <w:t>défi</w:t>
      </w:r>
      <w:r>
        <w:rPr>
          <w:rFonts w:ascii="Calibri" w:cs="Times New Roman" w:eastAsia="Calibri" w:hAnsi="Calibri"/>
        </w:rPr>
        <w:t>, les retours des utilisateurs (sur internet) et la discussion qui devrait avoir lieu avec le prestataire pourront être utilisés comme base pour le renouvellement des prestataires</w:t>
      </w:r>
    </w:p>
    <w:p>
      <w:pPr>
        <w:pStyle w:val="style25"/>
        <w:numPr>
          <w:ilvl w:val="0"/>
          <w:numId w:val="1"/>
        </w:numPr>
        <w:spacing w:after="0" w:before="0"/>
        <w:contextualSpacing/>
        <w:rPr>
          <w:rFonts w:ascii="Calibri" w:cs="Times New Roman" w:eastAsia="Calibri" w:hAnsi="Calibri"/>
        </w:rPr>
      </w:pPr>
      <w:r>
        <w:rPr>
          <w:b/>
        </w:rPr>
        <w:t>Acceptation et / ou amendements de la procédure proposée</w:t>
      </w:r>
      <w:r>
        <w:rPr>
          <w:rFonts w:ascii="Calibri" w:cs="Times New Roman" w:eastAsia="Calibri" w:hAnsi="Calibri"/>
        </w:rPr>
        <w:br/>
      </w:r>
    </w:p>
    <w:p>
      <w:pPr>
        <w:pStyle w:val="style25"/>
        <w:numPr>
          <w:ilvl w:val="0"/>
          <w:numId w:val="2"/>
        </w:numPr>
        <w:spacing w:after="0" w:before="0"/>
        <w:contextualSpacing/>
        <w:rPr>
          <w:b/>
          <w:sz w:val="28"/>
          <w:szCs w:val="28"/>
          <w:u w:val="single"/>
        </w:rPr>
      </w:pPr>
      <w:r>
        <w:rPr>
          <w:b/>
          <w:sz w:val="28"/>
          <w:szCs w:val="28"/>
          <w:u w:val="single"/>
        </w:rPr>
        <w:t>Fonds de garantie</w:t>
      </w:r>
    </w:p>
    <w:p>
      <w:pPr>
        <w:pStyle w:val="style0"/>
        <w:spacing w:after="0" w:before="0"/>
        <w:contextualSpacing w:val="false"/>
        <w:rPr/>
      </w:pPr>
      <w:r>
        <w:rPr/>
        <w:t>Nous ne pensons pas utiliser le fonds de garantie pendant la première année. Il faut d’abord que les flux d’entrée et de sortie des euros se stabilisent et que nous puissions estimer la masse monétaire stable sur le fonds de garantie.</w:t>
      </w:r>
    </w:p>
    <w:p>
      <w:pPr>
        <w:pStyle w:val="style0"/>
        <w:spacing w:after="0" w:before="0"/>
        <w:contextualSpacing w:val="false"/>
        <w:rPr/>
      </w:pPr>
      <w:r>
        <w:rPr/>
        <w:t>Néanmoins, à la Nef il y a des évolutions intéressantes à noter :</w:t>
      </w:r>
    </w:p>
    <w:p>
      <w:pPr>
        <w:pStyle w:val="style25"/>
        <w:numPr>
          <w:ilvl w:val="0"/>
          <w:numId w:val="3"/>
        </w:numPr>
        <w:spacing w:after="0" w:before="0"/>
        <w:contextualSpacing/>
        <w:rPr/>
      </w:pPr>
      <w:r>
        <w:rPr/>
        <w:t>Un groupe local est formé dans le Puy-de-Dôme qui sert comme intermédiaire entre les sociétaires et la Nef. Presque tous les membres de ce groupe local sont aussi membres de l’ADML63.</w:t>
      </w:r>
    </w:p>
    <w:p>
      <w:pPr>
        <w:pStyle w:val="style25"/>
        <w:numPr>
          <w:ilvl w:val="0"/>
          <w:numId w:val="3"/>
        </w:numPr>
        <w:spacing w:after="0" w:before="0"/>
        <w:contextualSpacing/>
        <w:rPr/>
      </w:pPr>
      <w:r>
        <w:rPr/>
        <w:t>La Nef se transformera en banque cette année et elle se pose déjà la question de savoir comment coopérer avec les monnaies locales. Il est question de mettre en place un livret spécial pour les monnaies locales, sans connaître plus de détails. Pendant le congrès du 24 mai, il y avait des discussions autour de la monnaie locale et il semble que cela va donner des possibilités dans le futur.</w:t>
      </w:r>
    </w:p>
    <w:p>
      <w:pPr>
        <w:pStyle w:val="style25"/>
        <w:numPr>
          <w:ilvl w:val="0"/>
          <w:numId w:val="1"/>
        </w:numPr>
        <w:spacing w:after="0" w:before="0"/>
        <w:ind w:hanging="284" w:left="284" w:right="0"/>
        <w:contextualSpacing/>
        <w:rPr>
          <w:b/>
        </w:rPr>
      </w:pPr>
      <w:r>
        <w:rPr>
          <w:b/>
        </w:rPr>
        <w:t>Nous proposons que nous utilisions la Nef comme banque de dépôt pour notre fonds de garantie et que nous évaluions la situation après un an.</w:t>
      </w:r>
    </w:p>
    <w:p>
      <w:pPr>
        <w:pStyle w:val="style0"/>
        <w:spacing w:after="0" w:before="0"/>
        <w:contextualSpacing w:val="false"/>
        <w:rPr/>
      </w:pPr>
      <w:r>
        <w:rPr/>
      </w:r>
    </w:p>
    <w:p>
      <w:pPr>
        <w:pStyle w:val="style0"/>
        <w:spacing w:after="0" w:before="0"/>
        <w:contextualSpacing w:val="false"/>
        <w:rPr/>
      </w:pPr>
      <w:r>
        <w:rPr/>
        <w:t>Juste pour information :</w:t>
      </w:r>
    </w:p>
    <w:p>
      <w:pPr>
        <w:pStyle w:val="style0"/>
        <w:spacing w:after="0" w:before="0"/>
        <w:contextualSpacing w:val="false"/>
        <w:rPr/>
      </w:pPr>
      <w:r>
        <w:rPr>
          <w:u w:val="single"/>
        </w:rPr>
        <w:t>Terre de Lien</w:t>
      </w:r>
      <w:r>
        <w:rPr/>
        <w:t xml:space="preserve">. Nous pourrions dans le futur acheter des parts de Terre de Lien pour une ferme dans le Puy-de-Dôme. Les parts pourront être vendues à tout moment, il faut seulement l’avis de l’AG. Nous sommes en train de discuter avec Terre de Lien si les monnaies locales ne pourraient pas avoir une dérogation et vendre leurs parts en cas de besoin sans passer par une AG. </w:t>
        <w:br/>
        <w:t xml:space="preserve">En tout cas, 25% du capital de Terre de Lien est gardé pour pouvoir rembourser des parts. </w:t>
      </w:r>
    </w:p>
    <w:p>
      <w:pPr>
        <w:pStyle w:val="style0"/>
        <w:spacing w:after="0" w:before="0"/>
        <w:contextualSpacing w:val="false"/>
        <w:rPr>
          <w:b/>
          <w:sz w:val="28"/>
          <w:szCs w:val="28"/>
          <w:u w:val="single"/>
        </w:rPr>
      </w:pPr>
      <w:r>
        <w:rPr>
          <w:b/>
          <w:sz w:val="28"/>
          <w:szCs w:val="28"/>
          <w:u w:val="single"/>
        </w:rPr>
      </w:r>
    </w:p>
    <w:p>
      <w:pPr>
        <w:pStyle w:val="style25"/>
        <w:numPr>
          <w:ilvl w:val="0"/>
          <w:numId w:val="2"/>
        </w:numPr>
        <w:spacing w:after="0" w:before="0"/>
        <w:contextualSpacing/>
        <w:rPr>
          <w:b/>
          <w:sz w:val="28"/>
          <w:szCs w:val="28"/>
          <w:u w:val="single"/>
        </w:rPr>
      </w:pPr>
      <w:r>
        <w:rPr>
          <w:b/>
          <w:sz w:val="28"/>
          <w:szCs w:val="28"/>
          <w:u w:val="single"/>
        </w:rPr>
        <w:t>Carte d’adhésion</w:t>
      </w:r>
    </w:p>
    <w:p>
      <w:pPr>
        <w:pStyle w:val="style25"/>
        <w:numPr>
          <w:ilvl w:val="0"/>
          <w:numId w:val="4"/>
        </w:numPr>
        <w:spacing w:after="0" w:before="0"/>
        <w:contextualSpacing/>
        <w:rPr/>
      </w:pPr>
      <w:r>
        <w:rPr/>
        <w:t>Nous pensons à une carte numérotée, sans photo et éventuellement un coté plastifié ou glacé</w:t>
      </w:r>
    </w:p>
    <w:p>
      <w:pPr>
        <w:pStyle w:val="style25"/>
        <w:numPr>
          <w:ilvl w:val="0"/>
          <w:numId w:val="4"/>
        </w:numPr>
        <w:spacing w:after="0" w:before="0"/>
        <w:contextualSpacing/>
        <w:rPr/>
      </w:pPr>
      <w:r>
        <w:rPr/>
        <w:t>Pour pouvoir convertir des euros en Doumes, la carte d’adhésion sera obligatoire</w:t>
      </w:r>
    </w:p>
    <w:p>
      <w:pPr>
        <w:pStyle w:val="style25"/>
        <w:numPr>
          <w:ilvl w:val="0"/>
          <w:numId w:val="4"/>
        </w:numPr>
        <w:spacing w:after="0" w:before="0"/>
        <w:contextualSpacing/>
        <w:rPr/>
      </w:pPr>
      <w:r>
        <w:rPr/>
        <w:t>Adhésion pourrait être faite soit dans un comptoir soit au sein de l’association. Avec l’adhésion, il faut expliquer le fonctionnement de la Doume, les coordonnées du contact du bassin de vie et donner une brochure avec les prestataires</w:t>
      </w:r>
    </w:p>
    <w:p>
      <w:pPr>
        <w:pStyle w:val="style25"/>
        <w:numPr>
          <w:ilvl w:val="0"/>
          <w:numId w:val="4"/>
        </w:numPr>
        <w:spacing w:after="0" w:before="0"/>
        <w:contextualSpacing/>
        <w:rPr/>
      </w:pPr>
      <w:r>
        <w:rPr/>
        <w:t>Il y aura des cartes d’adhésion avec des couleurs différentes : pour les utilisateurs, pour les prestataires et pour les kits essai / touriste (voir ci-dessous)</w:t>
      </w:r>
    </w:p>
    <w:p>
      <w:pPr>
        <w:pStyle w:val="style25"/>
        <w:numPr>
          <w:ilvl w:val="0"/>
          <w:numId w:val="1"/>
        </w:numPr>
        <w:ind w:hanging="284" w:left="284" w:right="0"/>
        <w:rPr>
          <w:b/>
        </w:rPr>
      </w:pPr>
      <w:r>
        <w:rPr>
          <w:b/>
        </w:rPr>
        <w:t>Acceptation et / ou amendements des propositions ci-dessus</w:t>
      </w:r>
    </w:p>
    <w:p>
      <w:pPr>
        <w:pStyle w:val="style0"/>
        <w:rPr/>
      </w:pPr>
      <w:r>
        <w:rPr/>
      </w:r>
    </w:p>
    <w:p>
      <w:pPr>
        <w:pStyle w:val="style25"/>
        <w:numPr>
          <w:ilvl w:val="0"/>
          <w:numId w:val="2"/>
        </w:numPr>
        <w:spacing w:after="0" w:before="0"/>
        <w:contextualSpacing/>
        <w:rPr>
          <w:b/>
          <w:sz w:val="28"/>
          <w:szCs w:val="28"/>
          <w:u w:val="single"/>
        </w:rPr>
      </w:pPr>
      <w:r>
        <w:rPr>
          <w:b/>
          <w:sz w:val="28"/>
          <w:szCs w:val="28"/>
          <w:u w:val="single"/>
        </w:rPr>
        <w:t>Kit essai / touriste</w:t>
      </w:r>
    </w:p>
    <w:p>
      <w:pPr>
        <w:pStyle w:val="style0"/>
        <w:spacing w:after="0" w:before="0"/>
        <w:contextualSpacing w:val="false"/>
        <w:rPr/>
      </w:pPr>
      <w:r>
        <w:rPr/>
        <w:t>Le Puy-de-Dôme attire pas mal de touristes qui seront assez preneurs pour acheter des produits locaux. La possibilité d’utiliser les Doumes pendant leur séjour parmi nous a deux avantages : intéressant pour les prestataires et un outil pédagogique qui dépasse nos limites départementales. De même, cela permettra d’essayer sans trop de contraintes pour ceux qui hésitent encore à utiliser les Doumes.</w:t>
      </w:r>
    </w:p>
    <w:p>
      <w:pPr>
        <w:pStyle w:val="style25"/>
        <w:numPr>
          <w:ilvl w:val="0"/>
          <w:numId w:val="1"/>
        </w:numPr>
        <w:spacing w:after="0" w:before="0"/>
        <w:ind w:hanging="284" w:left="284" w:right="0"/>
        <w:contextualSpacing/>
        <w:rPr>
          <w:b/>
        </w:rPr>
      </w:pPr>
      <w:r>
        <w:rPr>
          <w:b/>
        </w:rPr>
        <w:t>Nous proposons un kit pour les touristes et pour ceux qui veulent juste essayer. Dans ce kit, se trouvent : des Doumes, brochure/catalogue de prestataires et une carte adhésion (avec une autre couleur que la carte ‘normale</w:t>
      </w:r>
      <w:bookmarkStart w:id="0" w:name="_GoBack"/>
      <w:bookmarkEnd w:id="0"/>
      <w:r>
        <w:rPr>
          <w:b/>
        </w:rPr>
        <w:t>’) qui sera valable pour une période limitée.</w:t>
      </w:r>
    </w:p>
    <w:p>
      <w:pPr>
        <w:pStyle w:val="style0"/>
        <w:spacing w:after="0" w:before="0"/>
        <w:contextualSpacing w:val="false"/>
        <w:rPr/>
      </w:pPr>
      <w:r>
        <w:rPr/>
        <w:t>Exemple : un kit de 52€ avec 50 Doumes et 2€ pour l’adhésion qui sera valable pendant 2 mois.</w:t>
      </w:r>
    </w:p>
    <w:p>
      <w:pPr>
        <w:pStyle w:val="style0"/>
        <w:spacing w:after="0" w:before="0"/>
        <w:contextualSpacing w:val="false"/>
        <w:rPr/>
      </w:pPr>
      <w:r>
        <w:rPr/>
      </w:r>
    </w:p>
    <w:p>
      <w:pPr>
        <w:pStyle w:val="style0"/>
        <w:rPr/>
      </w:pPr>
      <w:r>
        <w:rPr/>
      </w:r>
    </w:p>
    <w:sectPr>
      <w:type w:val="nextPage"/>
      <w:pgSz w:h="16838" w:w="11906"/>
      <w:pgMar w:bottom="1417" w:footer="0" w:gutter="0" w:header="0" w:left="1417" w:right="1417" w:top="1417"/>
      <w:pgNumType w:fmt="decimal"/>
      <w:formProt w:val="false"/>
      <w:textDirection w:val="lrTb"/>
      <w:docGrid w:charSpace="0" w:linePitch="360" w:type="default"/>
    </w:sectPr>
  </w:body>
</w:document>
</file>

<file path=word/fontTable.xml><?xml version="1.0" encoding="utf-8"?>
<w:fonts xmlns:r="http://schemas.openxmlformats.org/officeDocument/2006/relationship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Calibri">
    <w:charset w:val="00"/>
    <w:family w:val="roman"/>
    <w:pitch w:val="variable"/>
  </w:font>
  <w:font w:name="Wingdings">
    <w:charset w:val="02"/>
    <w:family w:val="auto"/>
    <w:pitch w:val="variable"/>
  </w:font>
  <w:font w:name="Courier New">
    <w:charset w:val="01"/>
    <w:family w:val="modern"/>
    <w:pitch w:val="fixed"/>
  </w:font>
  <w:font w:name="Calibri">
    <w:charset w:val="01"/>
    <w:family w:val="swiss"/>
    <w:pitch w:val="default"/>
  </w:font>
</w:fonts>
</file>

<file path=word/numbering.xml><?xml version="1.0" encoding="utf-8"?>
<w:numbering xmlns:o="urn:schemas-microsoft-com:office:office" xmlns:r="http://schemas.openxmlformats.org/officeDocument/2006/relationships" xmlns:v="urn:schemas-microsoft-com:vml" xmlns:w="http://schemas.openxmlformats.org/wordprocessingml/2006/main">
  <w:abstractNum w:abstractNumId="1">
    <w:lvl w:ilvl="0">
      <w:start w:val="2"/>
      <w:numFmt w:val="bullet"/>
      <w:lvlText w:val=""/>
      <w:lvlJc w:val="left"/>
      <w:pPr>
        <w:ind w:hanging="360" w:left="720"/>
      </w:pPr>
      <w:rPr>
        <w:rFonts w:ascii="Wingdings" w:cs="Wingdings" w:hAnsi="Wingdings" w:hint="default"/>
        <w:b w:val="false"/>
      </w:rPr>
    </w:lvl>
    <w:lvl w:ilvl="1">
      <w:start w:val="1"/>
      <w:numFmt w:val="bullet"/>
      <w:lvlText w:val="o"/>
      <w:lvlJc w:val="left"/>
      <w:pPr>
        <w:ind w:hanging="360" w:left="1440"/>
      </w:pPr>
      <w:rPr>
        <w:rFonts w:ascii="Courier New" w:cs="Courier New" w:hAnsi="Courier New" w:hint="default"/>
      </w:rPr>
    </w:lvl>
    <w:lvl w:ilvl="2">
      <w:start w:val="1"/>
      <w:numFmt w:val="bullet"/>
      <w:lvlText w:val=""/>
      <w:lvlJc w:val="left"/>
      <w:pPr>
        <w:ind w:hanging="360" w:left="2160"/>
      </w:pPr>
      <w:rPr>
        <w:rFonts w:ascii="Wingdings" w:cs="Wingdings" w:hAnsi="Wingdings" w:hint="default"/>
      </w:rPr>
    </w:lvl>
    <w:lvl w:ilvl="3">
      <w:start w:val="1"/>
      <w:numFmt w:val="bullet"/>
      <w:lvlText w:val=""/>
      <w:lvlJc w:val="left"/>
      <w:pPr>
        <w:ind w:hanging="360" w:left="2880"/>
      </w:pPr>
      <w:rPr>
        <w:rFonts w:ascii="Symbol" w:cs="Symbol" w:hAnsi="Symbol" w:hint="default"/>
      </w:rPr>
    </w:lvl>
    <w:lvl w:ilvl="4">
      <w:start w:val="1"/>
      <w:numFmt w:val="bullet"/>
      <w:lvlText w:val="o"/>
      <w:lvlJc w:val="left"/>
      <w:pPr>
        <w:ind w:hanging="360" w:left="3600"/>
      </w:pPr>
      <w:rPr>
        <w:rFonts w:ascii="Courier New" w:cs="Courier New" w:hAnsi="Courier New" w:hint="default"/>
      </w:rPr>
    </w:lvl>
    <w:lvl w:ilvl="5">
      <w:start w:val="1"/>
      <w:numFmt w:val="bullet"/>
      <w:lvlText w:val=""/>
      <w:lvlJc w:val="left"/>
      <w:pPr>
        <w:ind w:hanging="360" w:left="4320"/>
      </w:pPr>
      <w:rPr>
        <w:rFonts w:ascii="Wingdings" w:cs="Wingdings" w:hAnsi="Wingdings" w:hint="default"/>
      </w:rPr>
    </w:lvl>
    <w:lvl w:ilvl="6">
      <w:start w:val="1"/>
      <w:numFmt w:val="bullet"/>
      <w:lvlText w:val=""/>
      <w:lvlJc w:val="left"/>
      <w:pPr>
        <w:ind w:hanging="360" w:left="5040"/>
      </w:pPr>
      <w:rPr>
        <w:rFonts w:ascii="Symbol" w:cs="Symbol" w:hAnsi="Symbol" w:hint="default"/>
      </w:rPr>
    </w:lvl>
    <w:lvl w:ilvl="7">
      <w:start w:val="1"/>
      <w:numFmt w:val="bullet"/>
      <w:lvlText w:val="o"/>
      <w:lvlJc w:val="left"/>
      <w:pPr>
        <w:ind w:hanging="360" w:left="5760"/>
      </w:pPr>
      <w:rPr>
        <w:rFonts w:ascii="Courier New" w:cs="Courier New" w:hAnsi="Courier New" w:hint="default"/>
      </w:rPr>
    </w:lvl>
    <w:lvl w:ilvl="8">
      <w:start w:val="1"/>
      <w:numFmt w:val="bullet"/>
      <w:lvlText w:val=""/>
      <w:lvlJc w:val="left"/>
      <w:pPr>
        <w:ind w:hanging="360" w:left="6480"/>
      </w:pPr>
      <w:rPr>
        <w:rFonts w:ascii="Wingdings" w:cs="Wingdings" w:hAnsi="Wingdings" w:hint="default"/>
      </w:rPr>
    </w:lvl>
  </w:abstractNum>
  <w:abstractNum w:abstractNumId="2">
    <w:lvl w:ilvl="0">
      <w:start w:val="1"/>
      <w:numFmt w:val="decimal"/>
      <w:lvlText w:val="%1."/>
      <w:lvlJc w:val="left"/>
      <w:pPr>
        <w:ind w:hanging="360" w:left="360"/>
      </w:pPr>
      <w:rPr>
        <w:sz w:val="28"/>
        <w:b/>
      </w:rPr>
    </w:lvl>
    <w:lvl w:ilvl="1">
      <w:start w:val="1"/>
      <w:numFmt w:val="lowerLetter"/>
      <w:lvlText w:val="%2."/>
      <w:lvlJc w:val="left"/>
      <w:pPr>
        <w:ind w:hanging="360" w:left="1080"/>
      </w:pPr>
    </w:lvl>
    <w:lvl w:ilvl="2">
      <w:start w:val="1"/>
      <w:numFmt w:val="lowerRoman"/>
      <w:lvlText w:val="%3."/>
      <w:lvlJc w:val="right"/>
      <w:pPr>
        <w:ind w:hanging="180" w:left="1800"/>
      </w:pPr>
    </w:lvl>
    <w:lvl w:ilvl="3">
      <w:start w:val="1"/>
      <w:numFmt w:val="decimal"/>
      <w:lvlText w:val="%4."/>
      <w:lvlJc w:val="left"/>
      <w:pPr>
        <w:ind w:hanging="360" w:left="2520"/>
      </w:pPr>
    </w:lvl>
    <w:lvl w:ilvl="4">
      <w:start w:val="1"/>
      <w:numFmt w:val="lowerLetter"/>
      <w:lvlText w:val="%5."/>
      <w:lvlJc w:val="left"/>
      <w:pPr>
        <w:ind w:hanging="360" w:left="3240"/>
      </w:pPr>
    </w:lvl>
    <w:lvl w:ilvl="5">
      <w:start w:val="1"/>
      <w:numFmt w:val="lowerRoman"/>
      <w:lvlText w:val="%6."/>
      <w:lvlJc w:val="right"/>
      <w:pPr>
        <w:ind w:hanging="180" w:left="3960"/>
      </w:pPr>
    </w:lvl>
    <w:lvl w:ilvl="6">
      <w:start w:val="1"/>
      <w:numFmt w:val="decimal"/>
      <w:lvlText w:val="%7."/>
      <w:lvlJc w:val="left"/>
      <w:pPr>
        <w:ind w:hanging="360" w:left="4680"/>
      </w:pPr>
    </w:lvl>
    <w:lvl w:ilvl="7">
      <w:start w:val="1"/>
      <w:numFmt w:val="lowerLetter"/>
      <w:lvlText w:val="%8."/>
      <w:lvlJc w:val="left"/>
      <w:pPr>
        <w:ind w:hanging="360" w:left="5400"/>
      </w:pPr>
    </w:lvl>
    <w:lvl w:ilvl="8">
      <w:start w:val="1"/>
      <w:numFmt w:val="lowerRoman"/>
      <w:lvlText w:val="%9."/>
      <w:lvlJc w:val="right"/>
      <w:pPr>
        <w:ind w:hanging="180" w:left="6120"/>
      </w:pPr>
    </w:lvl>
  </w:abstractNum>
  <w:abstractNum w:abstractNumId="3">
    <w:lvl w:ilvl="0">
      <w:start w:val="5"/>
      <w:numFmt w:val="bullet"/>
      <w:lvlText w:val="-"/>
      <w:lvlJc w:val="left"/>
      <w:pPr>
        <w:ind w:hanging="360" w:left="720"/>
      </w:pPr>
      <w:rPr>
        <w:rFonts w:ascii="Calibri" w:cs="Calibri" w:hAnsi="Calibri" w:hint="default"/>
      </w:rPr>
    </w:lvl>
    <w:lvl w:ilvl="1">
      <w:start w:val="1"/>
      <w:numFmt w:val="bullet"/>
      <w:lvlText w:val="o"/>
      <w:lvlJc w:val="left"/>
      <w:pPr>
        <w:ind w:hanging="360" w:left="1440"/>
      </w:pPr>
      <w:rPr>
        <w:rFonts w:ascii="Courier New" w:cs="Courier New" w:hAnsi="Courier New" w:hint="default"/>
      </w:rPr>
    </w:lvl>
    <w:lvl w:ilvl="2">
      <w:start w:val="1"/>
      <w:numFmt w:val="bullet"/>
      <w:lvlText w:val=""/>
      <w:lvlJc w:val="left"/>
      <w:pPr>
        <w:ind w:hanging="360" w:left="2160"/>
      </w:pPr>
      <w:rPr>
        <w:rFonts w:ascii="Wingdings" w:cs="Wingdings" w:hAnsi="Wingdings" w:hint="default"/>
      </w:rPr>
    </w:lvl>
    <w:lvl w:ilvl="3">
      <w:start w:val="1"/>
      <w:numFmt w:val="bullet"/>
      <w:lvlText w:val=""/>
      <w:lvlJc w:val="left"/>
      <w:pPr>
        <w:ind w:hanging="360" w:left="2880"/>
      </w:pPr>
      <w:rPr>
        <w:rFonts w:ascii="Symbol" w:cs="Symbol" w:hAnsi="Symbol" w:hint="default"/>
      </w:rPr>
    </w:lvl>
    <w:lvl w:ilvl="4">
      <w:start w:val="1"/>
      <w:numFmt w:val="bullet"/>
      <w:lvlText w:val="o"/>
      <w:lvlJc w:val="left"/>
      <w:pPr>
        <w:ind w:hanging="360" w:left="3600"/>
      </w:pPr>
      <w:rPr>
        <w:rFonts w:ascii="Courier New" w:cs="Courier New" w:hAnsi="Courier New" w:hint="default"/>
      </w:rPr>
    </w:lvl>
    <w:lvl w:ilvl="5">
      <w:start w:val="1"/>
      <w:numFmt w:val="bullet"/>
      <w:lvlText w:val=""/>
      <w:lvlJc w:val="left"/>
      <w:pPr>
        <w:ind w:hanging="360" w:left="4320"/>
      </w:pPr>
      <w:rPr>
        <w:rFonts w:ascii="Wingdings" w:cs="Wingdings" w:hAnsi="Wingdings" w:hint="default"/>
      </w:rPr>
    </w:lvl>
    <w:lvl w:ilvl="6">
      <w:start w:val="1"/>
      <w:numFmt w:val="bullet"/>
      <w:lvlText w:val=""/>
      <w:lvlJc w:val="left"/>
      <w:pPr>
        <w:ind w:hanging="360" w:left="5040"/>
      </w:pPr>
      <w:rPr>
        <w:rFonts w:ascii="Symbol" w:cs="Symbol" w:hAnsi="Symbol" w:hint="default"/>
      </w:rPr>
    </w:lvl>
    <w:lvl w:ilvl="7">
      <w:start w:val="1"/>
      <w:numFmt w:val="bullet"/>
      <w:lvlText w:val="o"/>
      <w:lvlJc w:val="left"/>
      <w:pPr>
        <w:ind w:hanging="360" w:left="5760"/>
      </w:pPr>
      <w:rPr>
        <w:rFonts w:ascii="Courier New" w:cs="Courier New" w:hAnsi="Courier New" w:hint="default"/>
      </w:rPr>
    </w:lvl>
    <w:lvl w:ilvl="8">
      <w:start w:val="1"/>
      <w:numFmt w:val="bullet"/>
      <w:lvlText w:val=""/>
      <w:lvlJc w:val="left"/>
      <w:pPr>
        <w:ind w:hanging="360" w:left="6480"/>
      </w:pPr>
      <w:rPr>
        <w:rFonts w:ascii="Wingdings" w:cs="Wingdings" w:hAnsi="Wingdings" w:hint="default"/>
      </w:rPr>
    </w:lvl>
  </w:abstractNum>
  <w:abstractNum w:abstractNumId="4">
    <w:lvl w:ilvl="0">
      <w:start w:val="1"/>
      <w:numFmt w:val="bullet"/>
      <w:lvlText w:val="-"/>
      <w:lvlJc w:val="left"/>
      <w:pPr>
        <w:ind w:hanging="360" w:left="720"/>
      </w:pPr>
      <w:rPr>
        <w:rFonts w:ascii="Calibri" w:cs="Calibri" w:hAnsi="Calibri" w:hint="default"/>
        <w:b w:val="false"/>
      </w:rPr>
    </w:lvl>
    <w:lvl w:ilvl="1">
      <w:start w:val="1"/>
      <w:numFmt w:val="bullet"/>
      <w:lvlText w:val="o"/>
      <w:lvlJc w:val="left"/>
      <w:pPr>
        <w:ind w:hanging="360" w:left="1440"/>
      </w:pPr>
      <w:rPr>
        <w:rFonts w:ascii="Courier New" w:cs="Courier New" w:hAnsi="Courier New" w:hint="default"/>
      </w:rPr>
    </w:lvl>
    <w:lvl w:ilvl="2">
      <w:start w:val="1"/>
      <w:numFmt w:val="bullet"/>
      <w:lvlText w:val=""/>
      <w:lvlJc w:val="left"/>
      <w:pPr>
        <w:ind w:hanging="360" w:left="2160"/>
      </w:pPr>
      <w:rPr>
        <w:rFonts w:ascii="Wingdings" w:cs="Wingdings" w:hAnsi="Wingdings" w:hint="default"/>
      </w:rPr>
    </w:lvl>
    <w:lvl w:ilvl="3">
      <w:start w:val="1"/>
      <w:numFmt w:val="bullet"/>
      <w:lvlText w:val=""/>
      <w:lvlJc w:val="left"/>
      <w:pPr>
        <w:ind w:hanging="360" w:left="2880"/>
      </w:pPr>
      <w:rPr>
        <w:rFonts w:ascii="Symbol" w:cs="Symbol" w:hAnsi="Symbol" w:hint="default"/>
      </w:rPr>
    </w:lvl>
    <w:lvl w:ilvl="4">
      <w:start w:val="1"/>
      <w:numFmt w:val="bullet"/>
      <w:lvlText w:val="o"/>
      <w:lvlJc w:val="left"/>
      <w:pPr>
        <w:ind w:hanging="360" w:left="3600"/>
      </w:pPr>
      <w:rPr>
        <w:rFonts w:ascii="Courier New" w:cs="Courier New" w:hAnsi="Courier New" w:hint="default"/>
      </w:rPr>
    </w:lvl>
    <w:lvl w:ilvl="5">
      <w:start w:val="1"/>
      <w:numFmt w:val="bullet"/>
      <w:lvlText w:val=""/>
      <w:lvlJc w:val="left"/>
      <w:pPr>
        <w:ind w:hanging="360" w:left="4320"/>
      </w:pPr>
      <w:rPr>
        <w:rFonts w:ascii="Wingdings" w:cs="Wingdings" w:hAnsi="Wingdings" w:hint="default"/>
      </w:rPr>
    </w:lvl>
    <w:lvl w:ilvl="6">
      <w:start w:val="1"/>
      <w:numFmt w:val="bullet"/>
      <w:lvlText w:val=""/>
      <w:lvlJc w:val="left"/>
      <w:pPr>
        <w:ind w:hanging="360" w:left="5040"/>
      </w:pPr>
      <w:rPr>
        <w:rFonts w:ascii="Symbol" w:cs="Symbol" w:hAnsi="Symbol" w:hint="default"/>
      </w:rPr>
    </w:lvl>
    <w:lvl w:ilvl="7">
      <w:start w:val="1"/>
      <w:numFmt w:val="bullet"/>
      <w:lvlText w:val="o"/>
      <w:lvlJc w:val="left"/>
      <w:pPr>
        <w:ind w:hanging="360" w:left="5760"/>
      </w:pPr>
      <w:rPr>
        <w:rFonts w:ascii="Courier New" w:cs="Courier New" w:hAnsi="Courier New" w:hint="default"/>
      </w:rPr>
    </w:lvl>
    <w:lvl w:ilvl="8">
      <w:start w:val="1"/>
      <w:numFmt w:val="bullet"/>
      <w:lvlText w:val=""/>
      <w:lvlJc w:val="left"/>
      <w:pPr>
        <w:ind w:hanging="360" w:left="6480"/>
      </w:pPr>
      <w:rPr>
        <w:rFonts w:ascii="Wingdings" w:cs="Wingdings" w:hAnsi="Wingdings" w:hint="default"/>
      </w:rPr>
    </w:lvl>
  </w:abstractNum>
  <w:abstractNum w:abstractNumId="5">
    <w:lvl w:ilvl="0">
      <w:start w:val="1"/>
      <w:numFmt w:val="none"/>
      <w:suff w:val="nothing"/>
      <w:lvlText w:val=""/>
      <w:lvlJc w:val="left"/>
      <w:pPr>
        <w:tabs>
          <w:tab w:pos="432" w:val="num"/>
        </w:tabs>
        <w:ind w:hanging="432" w:left="432"/>
      </w:pPr>
    </w:lvl>
    <w:lvl w:ilvl="1">
      <w:start w:val="1"/>
      <w:numFmt w:val="none"/>
      <w:suff w:val="nothing"/>
      <w:lvlText w:val=""/>
      <w:lvlJc w:val="left"/>
      <w:pPr>
        <w:tabs>
          <w:tab w:pos="576" w:val="num"/>
        </w:tabs>
        <w:ind w:hanging="576" w:left="576"/>
      </w:pPr>
    </w:lvl>
    <w:lvl w:ilvl="2">
      <w:start w:val="1"/>
      <w:numFmt w:val="none"/>
      <w:suff w:val="nothing"/>
      <w:lvlText w:val=""/>
      <w:lvlJc w:val="left"/>
      <w:pPr>
        <w:tabs>
          <w:tab w:pos="720" w:val="num"/>
        </w:tabs>
        <w:ind w:hanging="720" w:left="720"/>
      </w:pPr>
    </w:lvl>
    <w:lvl w:ilvl="3">
      <w:start w:val="1"/>
      <w:numFmt w:val="none"/>
      <w:suff w:val="nothing"/>
      <w:lvlText w:val=""/>
      <w:lvlJc w:val="left"/>
      <w:pPr>
        <w:tabs>
          <w:tab w:pos="864" w:val="num"/>
        </w:tabs>
        <w:ind w:hanging="864" w:left="864"/>
      </w:pPr>
    </w:lvl>
    <w:lvl w:ilvl="4">
      <w:start w:val="1"/>
      <w:numFmt w:val="none"/>
      <w:suff w:val="nothing"/>
      <w:lvlText w:val=""/>
      <w:lvlJc w:val="left"/>
      <w:pPr>
        <w:tabs>
          <w:tab w:pos="1008" w:val="num"/>
        </w:tabs>
        <w:ind w:hanging="1008" w:left="1008"/>
      </w:pPr>
    </w:lvl>
    <w:lvl w:ilvl="5">
      <w:start w:val="1"/>
      <w:numFmt w:val="none"/>
      <w:suff w:val="nothing"/>
      <w:lvlText w:val=""/>
      <w:lvlJc w:val="left"/>
      <w:pPr>
        <w:tabs>
          <w:tab w:pos="1152" w:val="num"/>
        </w:tabs>
        <w:ind w:hanging="1152" w:left="1152"/>
      </w:pPr>
    </w:lvl>
    <w:lvl w:ilvl="6">
      <w:start w:val="1"/>
      <w:numFmt w:val="none"/>
      <w:suff w:val="nothing"/>
      <w:lvlText w:val=""/>
      <w:lvlJc w:val="left"/>
      <w:pPr>
        <w:tabs>
          <w:tab w:pos="1296" w:val="num"/>
        </w:tabs>
        <w:ind w:hanging="1296" w:left="1296"/>
      </w:pPr>
    </w:lvl>
    <w:lvl w:ilvl="7">
      <w:start w:val="1"/>
      <w:numFmt w:val="none"/>
      <w:suff w:val="nothing"/>
      <w:lvlText w:val=""/>
      <w:lvlJc w:val="left"/>
      <w:pPr>
        <w:tabs>
          <w:tab w:pos="1440" w:val="num"/>
        </w:tabs>
        <w:ind w:hanging="1440" w:left="1440"/>
      </w:pPr>
    </w:lvl>
    <w:lvl w:ilvl="8">
      <w:start w:val="1"/>
      <w:numFmt w:val="none"/>
      <w:suff w:val="nothing"/>
      <w:lvlText w:val=""/>
      <w:lvlJc w:val="left"/>
      <w:pPr>
        <w:tabs>
          <w:tab w:pos="1584" w:val="num"/>
        </w:tabs>
        <w:ind w:hanging="1584" w:left="1584"/>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8"/>
</w:settings>
</file>

<file path=word/styles.xml><?xml version="1.0" encoding="utf-8"?>
<w:styles xmlns:w="http://schemas.openxmlformats.org/wordprocessingml/2006/main">
  <w:style w:styleId="style0" w:type="paragraph">
    <w:name w:val="Normal"/>
    <w:next w:val="style0"/>
    <w:pPr>
      <w:widowControl/>
      <w:suppressAutoHyphens w:val="true"/>
      <w:spacing w:after="0" w:before="0" w:line="100" w:lineRule="atLeast"/>
      <w:contextualSpacing w:val="false"/>
    </w:pPr>
    <w:rPr>
      <w:rFonts w:ascii="Times New Roman" w:cs="Mangal" w:eastAsia="Lucida Sans Unicode" w:hAnsi="Times New Roman"/>
      <w:color w:val="auto"/>
      <w:sz w:val="24"/>
      <w:szCs w:val="24"/>
      <w:lang w:bidi="hi-IN" w:eastAsia="zh-CN" w:val="fr-FR"/>
    </w:rPr>
  </w:style>
  <w:style w:styleId="style15" w:type="character">
    <w:name w:val="Default Paragraph Font"/>
    <w:next w:val="style15"/>
    <w:rPr/>
  </w:style>
  <w:style w:styleId="style16" w:type="character">
    <w:name w:val="ListLabel 1"/>
    <w:next w:val="style16"/>
    <w:rPr>
      <w:rFonts w:cs="Calibri"/>
      <w:b w:val="false"/>
    </w:rPr>
  </w:style>
  <w:style w:styleId="style17" w:type="character">
    <w:name w:val="ListLabel 2"/>
    <w:next w:val="style17"/>
    <w:rPr>
      <w:rFonts w:cs="Courier New"/>
    </w:rPr>
  </w:style>
  <w:style w:styleId="style18" w:type="character">
    <w:name w:val="ListLabel 3"/>
    <w:next w:val="style18"/>
    <w:rPr>
      <w:rFonts w:cs="Calibri"/>
    </w:rPr>
  </w:style>
  <w:style w:styleId="style19" w:type="character">
    <w:name w:val="ListLabel 4"/>
    <w:next w:val="style19"/>
    <w:rPr>
      <w:b/>
      <w:sz w:val="28"/>
    </w:rPr>
  </w:style>
  <w:style w:styleId="style20" w:type="paragraph">
    <w:name w:val="Titre"/>
    <w:basedOn w:val="style0"/>
    <w:next w:val="style21"/>
    <w:pPr>
      <w:keepNext/>
      <w:spacing w:after="120" w:before="240"/>
      <w:contextualSpacing w:val="false"/>
    </w:pPr>
    <w:rPr>
      <w:rFonts w:ascii="Arial" w:cs="Mangal" w:eastAsia="Lucida Sans Unicode" w:hAnsi="Arial"/>
      <w:sz w:val="28"/>
      <w:szCs w:val="28"/>
    </w:rPr>
  </w:style>
  <w:style w:styleId="style21" w:type="paragraph">
    <w:name w:val="Corps de texte"/>
    <w:basedOn w:val="style0"/>
    <w:next w:val="style21"/>
    <w:pPr>
      <w:spacing w:after="120" w:before="0"/>
      <w:contextualSpacing w:val="false"/>
    </w:pPr>
    <w:rPr/>
  </w:style>
  <w:style w:styleId="style22" w:type="paragraph">
    <w:name w:val="Liste"/>
    <w:basedOn w:val="style21"/>
    <w:next w:val="style22"/>
    <w:pPr/>
    <w:rPr>
      <w:rFonts w:cs="Mangal"/>
    </w:rPr>
  </w:style>
  <w:style w:styleId="style23" w:type="paragraph">
    <w:name w:val="Légende"/>
    <w:basedOn w:val="style0"/>
    <w:next w:val="style23"/>
    <w:pPr>
      <w:suppressLineNumbers/>
      <w:spacing w:after="120" w:before="120"/>
      <w:contextualSpacing w:val="false"/>
    </w:pPr>
    <w:rPr>
      <w:rFonts w:cs="Mangal"/>
      <w:i/>
      <w:iCs/>
      <w:sz w:val="24"/>
      <w:szCs w:val="24"/>
    </w:rPr>
  </w:style>
  <w:style w:styleId="style24" w:type="paragraph">
    <w:name w:val="Index"/>
    <w:basedOn w:val="style0"/>
    <w:next w:val="style24"/>
    <w:pPr>
      <w:suppressLineNumbers/>
    </w:pPr>
    <w:rPr>
      <w:rFonts w:cs="Mangal"/>
    </w:rPr>
  </w:style>
  <w:style w:styleId="style25" w:type="paragraph">
    <w:name w:val="List Paragraph"/>
    <w:basedOn w:val="style0"/>
    <w:next w:val="style25"/>
    <w:pPr>
      <w:spacing w:after="0" w:before="0"/>
      <w:ind w:hanging="0" w:left="720" w:right="0"/>
      <w:contextualSpacing/>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369</TotalTime>
  <Application>Microsoft Office Word</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2014-05-27T09:07:00Z</dcterms:created>
  <dc:creator>Astride</dc:creator>
  <cp:lastModifiedBy>Astride</cp:lastModifiedBy>
  <cp:lastPrinted>2014-05-27T10:43:00Z</cp:lastPrinted>
  <dcterms:modified xsi:type="dcterms:W3CDTF">2014-05-29T19:48:00Z</dcterms:modified>
  <cp:revision>4</cp:revision>
</cp:coreProperties>
</file>