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rPr>
          <w:u w:val="single"/>
        </w:rPr>
      </w:pPr>
      <w:r>
        <w:rPr>
          <w:u w:val="single"/>
        </w:rPr>
      </w:r>
    </w:p>
    <w:p>
      <w:pPr>
        <w:pStyle w:val="style0"/>
        <w:rPr/>
      </w:pPr>
      <w:r>
        <w:rPr>
          <w:sz w:val="32"/>
          <w:szCs w:val="32"/>
          <w:u w:val="single"/>
        </w:rPr>
        <w:t xml:space="preserve"> </w:t>
      </w:r>
      <w:r>
        <w:rPr>
          <w:b/>
          <w:sz w:val="32"/>
          <w:szCs w:val="32"/>
          <w:u w:val="single"/>
        </w:rPr>
        <w:t>Taux de reconversion pour les prestataires</w:t>
      </w:r>
      <w:r>
        <w:rPr>
          <w:u w:val="single"/>
        </w:rPr>
        <w:br/>
      </w:r>
      <w:r>
        <w:rPr/>
        <w:br/>
      </w:r>
      <w:r>
        <w:rPr>
          <w:b/>
          <w:i/>
          <w:sz w:val="28"/>
          <w:szCs w:val="28"/>
        </w:rPr>
        <w:t>Quelques informations :</w:t>
      </w:r>
      <w:r>
        <w:rPr/>
        <w:br/>
        <w:t xml:space="preserve">- nous avons mentionné un taux entre 3 et 5% pendant l’AG de mars 2014 </w:t>
        <w:br/>
        <w:t>- taux en moyenne en France pour les prestataires qui reconvertissent : 3% (enquête commission Duflot Hamon)</w:t>
        <w:br/>
        <w:t>- un petit calcul : avec  50.000 Doumes en circulation qui seront reconvertis une fois par an ou si l’on utilise directement la partie du taux qui ne sera pas reconverti: un taux de 1%  nous donne 500€ et un taux de 5% nous donne 2500€ par an</w:t>
        <w:br/>
        <w:t>- le groupe local d’Issoire a discuté avec des touts petits producteurs qui utilisent l’argent qui entre surtout pour remboursement des dettes auprès des banques, pour les taxes, le gasoil, choses qu’ils ne pourront pas payer avec la Doume. Ils voient une difficulté pour eux de payer un taux de reconversion.</w:t>
        <w:br/>
        <w:t>- l’argent gagné avec la reconversion est utilisé différemment par des MLCs. Certaines l’utilisent (en partie) pour financer le bonus pour la conversion, pour financer des associations, pour financer le fonctionnement, pour … ?</w:t>
      </w:r>
    </w:p>
    <w:p>
      <w:pPr>
        <w:pStyle w:val="style0"/>
        <w:rPr/>
      </w:pPr>
      <w:r>
        <w:rPr>
          <w:b/>
          <w:i/>
          <w:sz w:val="28"/>
          <w:szCs w:val="28"/>
        </w:rPr>
        <w:t>Quelques considérations :</w:t>
      </w:r>
      <w:r>
        <w:rPr/>
        <w:br/>
        <w:t>- avec le taux de reconversion, nous pouvons financer soit une partie du fonctionnement de la Doume, soit notre mission sociale, soit les deux</w:t>
        <w:br/>
        <w:t xml:space="preserve">- ce sont plutôt les cotisations qui vont financer le fonctionnement. Par exemple : en ce moment, nous avons plus de 110 adhérents, on peut facilement penser qu’on aura au moins 250 utilisateurs et une 50aine de prestataires la première année (au moins !). Cette année, la cotisation était de 13€ en moyenne, disons que ça reste pareil l’année prochaine pour les utilisateurs. On peut demander un peu plus pour les prestataires, disons 30€ en moyenne (cela dépend bien évidemment aussi de la décision prise pendant l’AG concernant les montants de cotisation. Cela nous apporte 4750€. </w:t>
        <w:br/>
        <w:t>- notre budget pour le fonctionnement est très flexible, cela dépend de combien on dispose, on s’adapte. Néanmoins, un budget de 5000 euro nous paraît raisonnable, en sachant qu’on a déjà les moyens pour payer l’impression des billets.</w:t>
        <w:br/>
        <w:t>- il y a un risque d’effrayer des prestataires si le taux de reconversion est trop haut</w:t>
        <w:br/>
        <w:t>- la première année, notre réseau de prestataires ne sera pas bien étoffé et il est probable que les prestataires aient du mal à trouver des fournisseurs où ils peuvent écouler leurs Doumes. Donc, la nécessité de reconvertir sera plus forte pendant la période de démarrage.</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ind w:hanging="142" w:left="142" w:right="0"/>
        <w:contextualSpacing w:val="false"/>
        <w:rPr>
          <w:b/>
          <w:i/>
          <w:sz w:val="28"/>
          <w:szCs w:val="28"/>
        </w:rPr>
      </w:pPr>
      <w:r>
        <w:rPr>
          <w:b/>
          <w:i/>
          <w:sz w:val="28"/>
          <w:szCs w:val="28"/>
        </w:rPr>
        <w:t>Des propositions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ind w:hanging="142" w:left="142" w:right="0"/>
        <w:contextualSpacing w:val="false"/>
        <w:rPr>
          <w:b/>
          <w:i/>
        </w:rPr>
      </w:pPr>
      <w:r>
        <w:rPr>
          <w:b/>
          <w:i/>
        </w:rPr>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ind w:hanging="142" w:left="142" w:right="0"/>
        <w:contextualSpacing w:val="false"/>
        <w:rPr/>
      </w:pPr>
      <w:r>
        <w:rPr>
          <w:b/>
        </w:rPr>
        <w:t>=&gt;pour rassurer des prestataires :</w:t>
      </w:r>
      <w:r>
        <w:rPr/>
        <w:br/>
        <w:t>1. On s’engage à trouver au moins deux manières d’écouler les Doumes, ensemble avec le prestataire. Sinon :</w:t>
        <w:br/>
        <w:t>- soit le processus d'agrément n’est pas validé tant que au moins deux manières d'écouler les Doumes ne sont trouvées. Le prestataire n’entre pas dans le réseau et il/elle n’a pas de cotisation à payer ;</w:t>
        <w:br/>
        <w:t>- soit le prestataire ne paie pas de cotisation tant qu’il n’a pas trouvé au moins deux manières d’écoulement ;</w:t>
        <w:br/>
        <w:t>- soit il/elle ne paie pas de taux de reconversion.</w:t>
        <w:br/>
        <w:t>2. trouver des moyens d’aider les tous petits producteurs.</w:t>
      </w:r>
    </w:p>
    <w:p>
      <w:pPr>
        <w:pStyle w:val="style26"/>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ind w:hanging="0" w:left="142" w:right="0"/>
        <w:contextualSpacing/>
        <w:rPr/>
      </w:pPr>
      <w:r>
        <w:rPr/>
        <w:t>- un message fort: contactez-nous si vous rencontrez des problèmes, ce taux de reconversion ne doit pas empêcher des prestataires d’adhérer à la Doume</w:t>
        <w:br/>
        <w:t>- il faut regarder individuellement vis-à-vis du montant, de la périodicité, essayer de leur trouver des fournisseurs qui acceptent la Doume ou être arrangeant pour la reconversion</w:t>
        <w:br/>
        <w:t>- on pourrait constituer un fond d’aide à la reconversion pour ceux qui ont trop de problèmes</w:t>
      </w:r>
    </w:p>
    <w:p>
      <w:pPr>
        <w:pStyle w:val="style26"/>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ind w:hanging="0" w:left="142" w:right="0"/>
        <w:contextualSpacing/>
        <w:rPr/>
      </w:pPr>
      <w:r>
        <w:rPr/>
      </w:r>
    </w:p>
    <w:p>
      <w:pPr>
        <w:pStyle w:val="style26"/>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ind w:hanging="142" w:left="142" w:right="0"/>
        <w:contextualSpacing/>
        <w:rPr>
          <w:b/>
        </w:rPr>
      </w:pPr>
      <w:r>
        <w:rPr>
          <w:b/>
        </w:rPr>
        <w:t>=&gt;pour le taux de reconversion :</w:t>
      </w:r>
    </w:p>
    <w:p>
      <w:pPr>
        <w:pStyle w:val="style0"/>
        <w:spacing w:after="0" w:before="0"/>
        <w:ind w:hanging="0" w:left="142" w:right="0"/>
        <w:contextualSpacing w:val="false"/>
        <w:rPr/>
      </w:pPr>
      <w:r>
        <w:rPr/>
        <w:t>Proposition du groupe de travail : la première année : un petit taux de 2% qui sera augmenté pendant deux ans (l’évaluation de la première année nous permettra de fixer les autres taux). Le taux ne sera pas augmenté pour les prestataires pour lesquels on ne trouve pas des fournisseurs qui peuvent être payés en Doumes.</w:t>
      </w:r>
    </w:p>
    <w:p>
      <w:pPr>
        <w:pStyle w:val="style0"/>
        <w:spacing w:after="0" w:before="0"/>
        <w:ind w:hanging="0" w:left="142" w:right="0"/>
        <w:contextualSpacing w:val="false"/>
        <w:rPr/>
      </w:pPr>
      <w:r>
        <w:rPr/>
      </w:r>
    </w:p>
    <w:p>
      <w:pPr>
        <w:pStyle w:val="style26"/>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ind w:hanging="142" w:left="142" w:right="0"/>
        <w:contextualSpacing/>
        <w:rPr>
          <w:b/>
        </w:rPr>
      </w:pPr>
      <w:r>
        <w:rPr>
          <w:b/>
        </w:rPr>
        <w:t>=&gt;pour calculer et quand utiliser l’argent disponible :</w:t>
      </w:r>
    </w:p>
    <w:p>
      <w:pPr>
        <w:pStyle w:val="style0"/>
        <w:spacing w:after="0" w:before="0"/>
        <w:ind w:hanging="0" w:left="142" w:right="0"/>
        <w:contextualSpacing w:val="false"/>
        <w:rPr/>
      </w:pPr>
      <w:r>
        <w:rPr/>
        <w:t xml:space="preserve">L’argent du taux (donc entre 2 et 5€ par 100€ reconverti) pourrait devenir disponible après la reconversion, ou bien, comme cette argent ne sera jamais utilisée pendant la reconversion, on pourrait l’utiliser directement. </w:t>
      </w:r>
    </w:p>
    <w:p>
      <w:pPr>
        <w:pStyle w:val="style0"/>
        <w:spacing w:after="0" w:before="0"/>
        <w:ind w:hanging="0" w:left="142" w:right="0"/>
        <w:contextualSpacing w:val="false"/>
        <w:rPr/>
      </w:pPr>
      <w:r>
        <w:rPr/>
        <w:t xml:space="preserve">Exemples (avec un taux de 2% pour la reconversion): </w:t>
      </w:r>
    </w:p>
    <w:p>
      <w:pPr>
        <w:pStyle w:val="style26"/>
        <w:numPr>
          <w:ilvl w:val="0"/>
          <w:numId w:val="1"/>
        </w:numPr>
        <w:spacing w:after="0" w:before="0"/>
        <w:contextualSpacing/>
        <w:rPr/>
      </w:pPr>
      <w:r>
        <w:rPr/>
        <w:t>premier cas : un prestataire reconverti 500 Doumes en euro, on prend les 500€ du fond de garantie, on lui donne 490€ (500€ moins le taux de reconversion) et on garde les 10€.</w:t>
      </w:r>
    </w:p>
    <w:p>
      <w:pPr>
        <w:pStyle w:val="style26"/>
        <w:numPr>
          <w:ilvl w:val="0"/>
          <w:numId w:val="1"/>
        </w:numPr>
        <w:spacing w:after="0" w:before="0"/>
        <w:contextualSpacing/>
        <w:rPr/>
      </w:pPr>
      <w:r>
        <w:rPr/>
        <w:t>Deuxième cas : un utilisateur converti 500€ en Doumes, nous mettrons 490€ dans le fond de garantie et on garde 10€ pour le fonctionnement / le social.</w:t>
      </w:r>
    </w:p>
    <w:p>
      <w:pPr>
        <w:pStyle w:val="style0"/>
        <w:spacing w:after="0" w:before="0"/>
        <w:ind w:hanging="0" w:left="142" w:right="0"/>
        <w:contextualSpacing w:val="false"/>
        <w:rPr/>
      </w:pPr>
      <w:r>
        <w:rPr/>
        <w:t xml:space="preserve">Proposition du groupe de travail : on met à part tout de suite les euros du taux de reconversion, comme cela, nous pouvons les utiliser tout de suite (surtout important pour l’utilisation sociale) et ce sera plus facile de prévoir les entrées. En plus, la comptabilité sera moins compliquée.  </w:t>
      </w:r>
    </w:p>
    <w:p>
      <w:pPr>
        <w:pStyle w:val="style0"/>
        <w:spacing w:after="0" w:before="0"/>
        <w:ind w:hanging="0" w:left="142" w:right="0"/>
        <w:contextualSpacing w:val="false"/>
        <w:rPr/>
      </w:pPr>
      <w:r>
        <w:rPr/>
      </w:r>
    </w:p>
    <w:p>
      <w:pPr>
        <w:pStyle w:val="style0"/>
        <w:spacing w:after="0" w:before="0"/>
        <w:ind w:hanging="0" w:left="142" w:right="0"/>
        <w:contextualSpacing w:val="false"/>
        <w:rPr/>
      </w:pPr>
      <w:r>
        <w:rPr/>
        <w:t>Attention : on pourrait avoir des prestataires qui ne vont pas payer le taux de reconversion (ceux qui sont trop petits et trop en autarcie ; mais peut-être aussi – dépendant de la décision prise par l’AG - ceux qui n’ont pas encore trouvé deux manières d’écouler les Doumes). Il faut prévoir cela dans le budget et prévoir un fond d’aide pour la reconversion.</w:t>
      </w:r>
    </w:p>
    <w:p>
      <w:pPr>
        <w:pStyle w:val="style0"/>
        <w:spacing w:after="0" w:before="0"/>
        <w:ind w:hanging="0" w:left="142" w:right="0"/>
        <w:contextualSpacing w:val="false"/>
        <w:rPr/>
      </w:pPr>
      <w:r>
        <w:rPr/>
      </w:r>
    </w:p>
    <w:p>
      <w:pPr>
        <w:pStyle w:val="style0"/>
        <w:rPr>
          <w:b/>
        </w:rPr>
      </w:pPr>
      <w:r>
        <w:rPr>
          <w:b/>
        </w:rPr>
        <w:t>=&gt; pour l’utilisation de l’argent ‘gagné’ par le taux de reconversion</w:t>
      </w:r>
    </w:p>
    <w:p>
      <w:pPr>
        <w:pStyle w:val="style0"/>
        <w:spacing w:after="0" w:before="0"/>
        <w:ind w:hanging="0" w:left="142" w:right="0"/>
        <w:contextualSpacing w:val="false"/>
        <w:rPr/>
      </w:pPr>
      <w:r>
        <w:rPr/>
        <w:t>1. Financer une partie du fonctionnement de la Doume. Dans la partie « considérations » est expliqué que  nous n’avons pas nécessairement besoin de beaucoup plus que les cotisations pour pouvoir assurer les frais de fonctionnement</w:t>
      </w:r>
      <w:bookmarkStart w:id="0" w:name="_GoBack"/>
      <w:bookmarkEnd w:id="0"/>
      <w:r>
        <w:rPr/>
        <w:t>.</w:t>
        <w:br/>
        <w:t>2. Financer le coté social. Le groupe de travail sur le social a fait des propositions dans un document séparé.</w:t>
      </w:r>
    </w:p>
    <w:p>
      <w:pPr>
        <w:pStyle w:val="style0"/>
        <w:spacing w:after="0" w:before="0"/>
        <w:ind w:hanging="0" w:left="142" w:right="0"/>
        <w:contextualSpacing w:val="false"/>
        <w:rPr/>
      </w:pPr>
      <w:r>
        <w:rPr/>
        <w:t xml:space="preserve">3. Un fonds d’aide à la reconversion pour ceux qui ont des problèmes avec la reconversion </w:t>
      </w:r>
    </w:p>
    <w:p>
      <w:pPr>
        <w:pStyle w:val="style0"/>
        <w:spacing w:after="0" w:before="0"/>
        <w:ind w:hanging="0" w:left="142" w:right="0"/>
        <w:contextualSpacing w:val="false"/>
        <w:rPr/>
      </w:pPr>
      <w:r>
        <w:rPr/>
      </w:r>
    </w:p>
    <w:p>
      <w:pPr>
        <w:pStyle w:val="style0"/>
        <w:rPr/>
      </w:pPr>
      <w:r>
        <w:rPr/>
      </w:r>
    </w:p>
    <w:sectPr>
      <w:type w:val="nextPage"/>
      <w:pgSz w:h="16838" w:w="11906"/>
      <w:pgMar w:bottom="1417" w:footer="0" w:gutter="0" w:header="0" w:left="1417" w:right="1417" w:top="1417"/>
      <w:pgNumType w:fmt="decimal"/>
      <w:formProt w:val="false"/>
      <w:textDirection w:val="lrTb"/>
      <w:docGrid w:charSpace="4096"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Courier New">
    <w:charset w:val="00"/>
    <w:family w:val="roman"/>
    <w:pitch w:val="variable"/>
  </w:font>
  <w:font w:name="Calibri">
    <w:charset w:val="01"/>
    <w:family w:val="swiss"/>
    <w:pitch w:val="default"/>
  </w:font>
  <w:font w:name="Courier New">
    <w:charset w:val="01"/>
    <w:family w:val="modern"/>
    <w:pitch w:val="fixed"/>
  </w:font>
  <w:font w:name="Wingdings">
    <w:charset w:val="02"/>
    <w:family w:val="auto"/>
    <w:pitch w:val="variable"/>
  </w:font>
</w:fonts>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5"/>
      <w:numFmt w:val="bullet"/>
      <w:lvlText w:val="-"/>
      <w:lvlJc w:val="left"/>
      <w:pPr>
        <w:ind w:hanging="360" w:left="502"/>
      </w:pPr>
      <w:rPr>
        <w:rFonts w:ascii="Calibri" w:cs="Calibri" w:hAnsi="Calibri" w:hint="default"/>
      </w:rPr>
    </w:lvl>
    <w:lvl w:ilvl="1">
      <w:start w:val="1"/>
      <w:numFmt w:val="bullet"/>
      <w:lvlText w:val="o"/>
      <w:lvlJc w:val="left"/>
      <w:pPr>
        <w:ind w:hanging="360" w:left="1222"/>
      </w:pPr>
      <w:rPr>
        <w:rFonts w:ascii="Courier New" w:cs="Courier New" w:hAnsi="Courier New" w:hint="default"/>
      </w:rPr>
    </w:lvl>
    <w:lvl w:ilvl="2">
      <w:start w:val="1"/>
      <w:numFmt w:val="bullet"/>
      <w:lvlText w:val=""/>
      <w:lvlJc w:val="left"/>
      <w:pPr>
        <w:ind w:hanging="360" w:left="1942"/>
      </w:pPr>
      <w:rPr>
        <w:rFonts w:ascii="Wingdings" w:cs="Wingdings" w:hAnsi="Wingdings" w:hint="default"/>
      </w:rPr>
    </w:lvl>
    <w:lvl w:ilvl="3">
      <w:start w:val="1"/>
      <w:numFmt w:val="bullet"/>
      <w:lvlText w:val=""/>
      <w:lvlJc w:val="left"/>
      <w:pPr>
        <w:ind w:hanging="360" w:left="2662"/>
      </w:pPr>
      <w:rPr>
        <w:rFonts w:ascii="Symbol" w:cs="Symbol" w:hAnsi="Symbol" w:hint="default"/>
      </w:rPr>
    </w:lvl>
    <w:lvl w:ilvl="4">
      <w:start w:val="1"/>
      <w:numFmt w:val="bullet"/>
      <w:lvlText w:val="o"/>
      <w:lvlJc w:val="left"/>
      <w:pPr>
        <w:ind w:hanging="360" w:left="3382"/>
      </w:pPr>
      <w:rPr>
        <w:rFonts w:ascii="Courier New" w:cs="Courier New" w:hAnsi="Courier New" w:hint="default"/>
      </w:rPr>
    </w:lvl>
    <w:lvl w:ilvl="5">
      <w:start w:val="1"/>
      <w:numFmt w:val="bullet"/>
      <w:lvlText w:val=""/>
      <w:lvlJc w:val="left"/>
      <w:pPr>
        <w:ind w:hanging="360" w:left="4102"/>
      </w:pPr>
      <w:rPr>
        <w:rFonts w:ascii="Wingdings" w:cs="Wingdings" w:hAnsi="Wingdings" w:hint="default"/>
      </w:rPr>
    </w:lvl>
    <w:lvl w:ilvl="6">
      <w:start w:val="1"/>
      <w:numFmt w:val="bullet"/>
      <w:lvlText w:val=""/>
      <w:lvlJc w:val="left"/>
      <w:pPr>
        <w:ind w:hanging="360" w:left="4822"/>
      </w:pPr>
      <w:rPr>
        <w:rFonts w:ascii="Symbol" w:cs="Symbol" w:hAnsi="Symbol" w:hint="default"/>
      </w:rPr>
    </w:lvl>
    <w:lvl w:ilvl="7">
      <w:start w:val="1"/>
      <w:numFmt w:val="bullet"/>
      <w:lvlText w:val="o"/>
      <w:lvlJc w:val="left"/>
      <w:pPr>
        <w:ind w:hanging="360" w:left="5542"/>
      </w:pPr>
      <w:rPr>
        <w:rFonts w:ascii="Courier New" w:cs="Courier New" w:hAnsi="Courier New" w:hint="default"/>
      </w:rPr>
    </w:lvl>
    <w:lvl w:ilvl="8">
      <w:start w:val="1"/>
      <w:numFmt w:val="bullet"/>
      <w:lvlText w:val=""/>
      <w:lvlJc w:val="left"/>
      <w:pPr>
        <w:ind w:hanging="360" w:left="6262"/>
      </w:pPr>
      <w:rPr>
        <w:rFonts w:ascii="Wingdings" w:cs="Wingdings" w:hAnsi="Wingdings" w:hint="default"/>
      </w:rPr>
    </w:lvl>
  </w:abstractNum>
  <w:abstractNum w:abstractNumId="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bering>
</file>

<file path=word/settings.xml><?xml version="1.0" encoding="utf-8"?>
<w:settings xmlns:w="http://schemas.openxmlformats.org/wordprocessingml/2006/main">
  <w:zoom w:percent="130"/>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200" w:before="0" w:line="276" w:lineRule="auto"/>
      <w:contextualSpacing w:val="false"/>
    </w:pPr>
    <w:rPr>
      <w:rFonts w:ascii="Calibri" w:cs="" w:eastAsia="Lucida Sans Unicode" w:hAnsi="Calibri"/>
      <w:color w:val="auto"/>
      <w:sz w:val="22"/>
      <w:szCs w:val="22"/>
      <w:lang w:bidi="ar-SA" w:eastAsia="fr-FR" w:val="fr-FR"/>
    </w:rPr>
  </w:style>
  <w:style w:styleId="style15" w:type="character">
    <w:name w:val="Default Paragraph Font"/>
    <w:next w:val="style15"/>
    <w:rPr/>
  </w:style>
  <w:style w:styleId="style16" w:type="character">
    <w:name w:val="Préformaté HTML Car"/>
    <w:basedOn w:val="style15"/>
    <w:next w:val="style16"/>
    <w:rPr>
      <w:rFonts w:ascii="Courier New" w:cs="Courier New" w:eastAsia="Times New Roman" w:hAnsi="Courier New"/>
      <w:sz w:val="20"/>
      <w:szCs w:val="20"/>
      <w:lang w:eastAsia="fr-FR"/>
    </w:rPr>
  </w:style>
  <w:style w:styleId="style17" w:type="character">
    <w:name w:val="ListLabel 1"/>
    <w:next w:val="style17"/>
    <w:rPr>
      <w:rFonts w:cs="Calibri"/>
    </w:rPr>
  </w:style>
  <w:style w:styleId="style18" w:type="character">
    <w:name w:val="ListLabel 2"/>
    <w:next w:val="style18"/>
    <w:rPr>
      <w:rFonts w:cs="Courier New"/>
    </w:rPr>
  </w:style>
  <w:style w:styleId="style19" w:type="character">
    <w:name w:val="ListLabel 3"/>
    <w:next w:val="style19"/>
    <w:rPr>
      <w:rFonts w:cs="Calibri"/>
      <w:b w:val="false"/>
    </w:rPr>
  </w:style>
  <w:style w:styleId="style20" w:type="character">
    <w:name w:val="ListLabel 4"/>
    <w:next w:val="style20"/>
    <w:rPr>
      <w:rFonts w:cs=""/>
    </w:rPr>
  </w:style>
  <w:style w:styleId="style21" w:type="paragraph">
    <w:name w:val="Titre"/>
    <w:basedOn w:val="style0"/>
    <w:next w:val="style22"/>
    <w:pPr>
      <w:keepNext/>
      <w:spacing w:after="120" w:before="240"/>
      <w:contextualSpacing w:val="false"/>
    </w:pPr>
    <w:rPr>
      <w:rFonts w:ascii="Arial" w:cs="Mangal" w:eastAsia="Lucida Sans Unicode" w:hAnsi="Arial"/>
      <w:sz w:val="28"/>
      <w:szCs w:val="28"/>
    </w:rPr>
  </w:style>
  <w:style w:styleId="style22" w:type="paragraph">
    <w:name w:val="Corps de texte"/>
    <w:basedOn w:val="style0"/>
    <w:next w:val="style22"/>
    <w:pPr>
      <w:spacing w:after="120" w:before="0"/>
      <w:contextualSpacing w:val="false"/>
    </w:pPr>
    <w:rPr/>
  </w:style>
  <w:style w:styleId="style23" w:type="paragraph">
    <w:name w:val="Liste"/>
    <w:basedOn w:val="style22"/>
    <w:next w:val="style23"/>
    <w:pPr/>
    <w:rPr>
      <w:rFonts w:cs="Mangal"/>
    </w:rPr>
  </w:style>
  <w:style w:styleId="style24" w:type="paragraph">
    <w:name w:val="Légende"/>
    <w:basedOn w:val="style0"/>
    <w:next w:val="style24"/>
    <w:pPr>
      <w:suppressLineNumbers/>
      <w:spacing w:after="120" w:before="120"/>
      <w:contextualSpacing w:val="false"/>
    </w:pPr>
    <w:rPr>
      <w:rFonts w:cs="Mangal"/>
      <w:i/>
      <w:iCs/>
      <w:sz w:val="24"/>
      <w:szCs w:val="24"/>
    </w:rPr>
  </w:style>
  <w:style w:styleId="style25" w:type="paragraph">
    <w:name w:val="Index"/>
    <w:basedOn w:val="style0"/>
    <w:next w:val="style25"/>
    <w:pPr>
      <w:suppressLineNumbers/>
    </w:pPr>
    <w:rPr>
      <w:rFonts w:cs="Mangal"/>
    </w:rPr>
  </w:style>
  <w:style w:styleId="style26" w:type="paragraph">
    <w:name w:val="List Paragraph"/>
    <w:basedOn w:val="style0"/>
    <w:next w:val="style26"/>
    <w:pPr>
      <w:spacing w:after="200" w:before="0"/>
      <w:ind w:hanging="0" w:left="720" w:right="0"/>
      <w:contextualSpacing/>
    </w:pPr>
    <w:rPr/>
  </w:style>
  <w:style w:styleId="style27" w:type="paragraph">
    <w:name w:val="HTML Preformatted"/>
    <w:basedOn w:val="style0"/>
    <w:next w:val="style27"/>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contextualSpacing w:val="false"/>
    </w:pPr>
    <w:rPr>
      <w:rFonts w:ascii="Courier New" w:cs="Courier New" w:eastAsia="Times New Roman" w:hAnsi="Courier New"/>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2014-05-28T09:57:00Z</dcterms:created>
  <dc:creator>Astride</dc:creator>
  <cp:lastModifiedBy>Astride</cp:lastModifiedBy>
  <cp:lastPrinted>2014-05-27T10:42:00Z</cp:lastPrinted>
  <dcterms:modified xsi:type="dcterms:W3CDTF">2014-05-28T09:57:00Z</dcterms:modified>
  <cp:revision>2</cp:revision>
</cp:coreProperties>
</file>