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rPr/>
      </w:pPr>
      <w:r>
        <w:rPr/>
        <w:t>Bilan financière ADML63 du 1</w:t>
      </w:r>
      <w:r>
        <w:rPr>
          <w:vertAlign w:val="superscript"/>
        </w:rPr>
        <w:t>er</w:t>
      </w:r>
      <w:r>
        <w:rPr/>
        <w:t xml:space="preserve"> mai 2013 au 30 avril 2014</w:t>
      </w:r>
    </w:p>
    <w:p>
      <w:pPr>
        <w:pStyle w:val="style0"/>
        <w:rPr/>
      </w:pPr>
      <w:r>
        <w:rPr/>
      </w:r>
    </w:p>
    <w:tbl>
      <w:tblPr>
        <w:jc w:val="left"/>
        <w:tblInd w:type="dxa" w:w="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02"/>
        <w:gridCol w:w="4785"/>
      </w:tblGrid>
      <w:tr>
        <w:trPr>
          <w:cantSplit w:val="false"/>
        </w:trPr>
        <w:tc>
          <w:tcPr>
            <w:tcW w:type="dxa" w:w="4502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Nos dépenses :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</w:r>
          </w:p>
        </w:tc>
        <w:tc>
          <w:tcPr>
            <w:tcW w:type="dxa" w:w="4785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Nos entrées :</w:t>
            </w:r>
          </w:p>
        </w:tc>
      </w:tr>
      <w:tr>
        <w:trPr>
          <w:trHeight w:hRule="atLeast" w:val="1134"/>
          <w:cantSplit w:val="true"/>
        </w:trPr>
        <w:tc>
          <w:tcPr>
            <w:tcW w:type="dxa" w:w="28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- frais établissement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- formation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- matériel expo/comm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- frais bancaires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</w:r>
          </w:p>
        </w:tc>
        <w:tc>
          <w:tcPr>
            <w:tcW w:type="dxa" w:w="170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pBdr>
                <w:top w:val="nil"/>
                <w:left w:val="nil"/>
                <w:bottom w:color="00000A" w:space="0" w:sz="12" w:val="single"/>
                <w:insideH w:color="00000A" w:space="0" w:sz="12" w:val="single"/>
                <w:right w:val="nil"/>
                <w:insideV w:val="nil"/>
              </w:pBdr>
              <w:spacing w:after="0" w:before="0" w:line="100" w:lineRule="atLeast"/>
              <w:contextualSpacing w:val="false"/>
              <w:rPr/>
            </w:pPr>
            <w:r>
              <w:rPr/>
              <w:t xml:space="preserve">     </w:t>
            </w:r>
            <w:r>
              <w:rPr/>
              <w:t>44,00</w:t>
            </w:r>
          </w:p>
          <w:p>
            <w:pPr>
              <w:pStyle w:val="style0"/>
              <w:pBdr>
                <w:top w:val="nil"/>
                <w:left w:val="nil"/>
                <w:bottom w:color="00000A" w:space="0" w:sz="12" w:val="single"/>
                <w:insideH w:color="00000A" w:space="0" w:sz="12" w:val="single"/>
                <w:right w:val="nil"/>
                <w:insideV w:val="nil"/>
              </w:pBdr>
              <w:spacing w:after="0" w:before="0" w:line="100" w:lineRule="atLeast"/>
              <w:contextualSpacing w:val="false"/>
              <w:rPr/>
            </w:pPr>
            <w:r>
              <w:rPr/>
              <w:t xml:space="preserve">   </w:t>
            </w:r>
            <w:r>
              <w:rPr/>
              <w:t>429,67</w:t>
            </w:r>
          </w:p>
          <w:p>
            <w:pPr>
              <w:pStyle w:val="style0"/>
              <w:pBdr>
                <w:top w:val="nil"/>
                <w:left w:val="nil"/>
                <w:bottom w:color="00000A" w:space="0" w:sz="12" w:val="single"/>
                <w:insideH w:color="00000A" w:space="0" w:sz="12" w:val="single"/>
                <w:right w:val="nil"/>
                <w:insideV w:val="nil"/>
              </w:pBdr>
              <w:spacing w:after="0" w:before="0" w:line="100" w:lineRule="atLeast"/>
              <w:contextualSpacing w:val="false"/>
              <w:rPr/>
            </w:pPr>
            <w:r>
              <w:rPr/>
              <w:t xml:space="preserve">   </w:t>
            </w:r>
            <w:r>
              <w:rPr/>
              <w:t>335,25</w:t>
            </w:r>
          </w:p>
          <w:p>
            <w:pPr>
              <w:pStyle w:val="style0"/>
              <w:pBdr>
                <w:top w:val="nil"/>
                <w:left w:val="nil"/>
                <w:bottom w:color="00000A" w:space="0" w:sz="12" w:val="single"/>
                <w:insideH w:color="00000A" w:space="0" w:sz="12" w:val="single"/>
                <w:right w:val="nil"/>
                <w:insideV w:val="nil"/>
              </w:pBdr>
              <w:spacing w:after="0" w:before="0" w:line="100" w:lineRule="atLeast"/>
              <w:contextualSpacing w:val="false"/>
              <w:rPr/>
            </w:pPr>
            <w:r>
              <w:rPr/>
              <w:t xml:space="preserve">     </w:t>
            </w:r>
            <w:r>
              <w:rPr/>
              <w:t>39,20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 xml:space="preserve">   </w:t>
            </w:r>
            <w:r>
              <w:rPr/>
              <w:t>848,12</w:t>
            </w:r>
          </w:p>
        </w:tc>
        <w:tc>
          <w:tcPr>
            <w:tcW w:type="dxa" w:w="366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- cotisations 2013 (67 membres)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- cotisation 2014 (35 membres)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- paiement pour formation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- dons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</w:r>
          </w:p>
        </w:tc>
        <w:tc>
          <w:tcPr>
            <w:tcW w:type="dxa" w:w="112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pBdr>
                <w:top w:val="nil"/>
                <w:left w:val="nil"/>
                <w:bottom w:color="00000A" w:space="0" w:sz="12" w:val="single"/>
                <w:insideH w:color="00000A" w:space="0" w:sz="12" w:val="single"/>
                <w:right w:val="nil"/>
                <w:insideV w:val="nil"/>
              </w:pBdr>
              <w:spacing w:after="0" w:before="0" w:line="100" w:lineRule="atLeast"/>
              <w:contextualSpacing w:val="false"/>
              <w:rPr/>
            </w:pPr>
            <w:r>
              <w:rPr/>
              <w:t xml:space="preserve">   </w:t>
            </w:r>
            <w:r>
              <w:rPr/>
              <w:t>859,00</w:t>
            </w:r>
          </w:p>
          <w:p>
            <w:pPr>
              <w:pStyle w:val="style0"/>
              <w:pBdr>
                <w:top w:val="nil"/>
                <w:left w:val="nil"/>
                <w:bottom w:color="00000A" w:space="0" w:sz="12" w:val="single"/>
                <w:insideH w:color="00000A" w:space="0" w:sz="12" w:val="single"/>
                <w:right w:val="nil"/>
                <w:insideV w:val="nil"/>
              </w:pBdr>
              <w:spacing w:after="0" w:before="0" w:line="100" w:lineRule="atLeast"/>
              <w:contextualSpacing w:val="false"/>
              <w:rPr/>
            </w:pPr>
            <w:r>
              <w:rPr/>
              <w:t xml:space="preserve">   </w:t>
            </w:r>
            <w:r>
              <w:rPr/>
              <w:t>465,00</w:t>
            </w:r>
          </w:p>
          <w:p>
            <w:pPr>
              <w:pStyle w:val="style0"/>
              <w:pBdr>
                <w:top w:val="nil"/>
                <w:left w:val="nil"/>
                <w:bottom w:color="00000A" w:space="0" w:sz="12" w:val="single"/>
                <w:insideH w:color="00000A" w:space="0" w:sz="12" w:val="single"/>
                <w:right w:val="nil"/>
                <w:insideV w:val="nil"/>
              </w:pBdr>
              <w:spacing w:after="0" w:before="0" w:line="100" w:lineRule="atLeast"/>
              <w:contextualSpacing w:val="false"/>
              <w:rPr/>
            </w:pPr>
            <w:r>
              <w:rPr/>
              <w:t xml:space="preserve">   </w:t>
            </w:r>
            <w:r>
              <w:rPr/>
              <w:t>472,00</w:t>
            </w:r>
          </w:p>
          <w:p>
            <w:pPr>
              <w:pStyle w:val="style0"/>
              <w:pBdr>
                <w:top w:val="nil"/>
                <w:left w:val="nil"/>
                <w:bottom w:color="00000A" w:space="0" w:sz="12" w:val="single"/>
                <w:insideH w:color="00000A" w:space="0" w:sz="12" w:val="single"/>
                <w:right w:val="nil"/>
                <w:insideV w:val="nil"/>
              </w:pBdr>
              <w:spacing w:after="0" w:before="0" w:line="100" w:lineRule="atLeast"/>
              <w:contextualSpacing w:val="false"/>
              <w:rPr/>
            </w:pPr>
            <w:r>
              <w:rPr/>
              <w:t xml:space="preserve">   </w:t>
            </w:r>
            <w:r>
              <w:rPr/>
              <w:t>190,28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 xml:space="preserve"> </w:t>
            </w:r>
            <w:r>
              <w:rPr/>
              <w:t>1986,28</w:t>
            </w:r>
          </w:p>
        </w:tc>
      </w:tr>
    </w:tbl>
    <w:p>
      <w:pPr>
        <w:pStyle w:val="style0"/>
        <w:rPr/>
      </w:pPr>
      <w:r>
        <w:rPr/>
      </w:r>
    </w:p>
    <w:tbl>
      <w:tblPr>
        <w:jc w:val="left"/>
        <w:tblInd w:type="dxa" w:w="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5352"/>
        <w:gridCol w:w="3859"/>
      </w:tblGrid>
      <w:tr>
        <w:trPr>
          <w:cantSplit w:val="false"/>
        </w:trPr>
        <w:tc>
          <w:tcPr>
            <w:tcW w:type="dxa" w:w="5352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Ce que nous avons</w:t>
            </w:r>
          </w:p>
        </w:tc>
        <w:tc>
          <w:tcPr>
            <w:tcW w:type="dxa" w:w="3859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Ce que nous devons payer</w:t>
            </w:r>
          </w:p>
        </w:tc>
      </w:tr>
      <w:tr>
        <w:trPr>
          <w:cantSplit w:val="false"/>
        </w:trPr>
        <w:tc>
          <w:tcPr>
            <w:tcW w:type="dxa" w:w="421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Parts sociales la nef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 xml:space="preserve">Banque 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lang w:val="en-US"/>
              </w:rPr>
            </w:pPr>
            <w:r>
              <w:rPr>
                <w:lang w:val="en-US"/>
              </w:rPr>
              <w:t xml:space="preserve">Caisse 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lang w:val="en-US"/>
              </w:rPr>
            </w:pPr>
            <w:r>
              <w:rPr>
                <w:lang w:val="en-US"/>
              </w:rPr>
              <w:t>Chèques à encaisser</w:t>
            </w:r>
          </w:p>
        </w:tc>
        <w:tc>
          <w:tcPr>
            <w:tcW w:type="dxa" w:w="11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>
              <w:rPr>
                <w:lang w:val="en-US"/>
              </w:rPr>
              <w:t>90,00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>
                <w:lang w:val="en-US"/>
              </w:rPr>
              <w:t xml:space="preserve">   </w:t>
            </w:r>
            <w:r>
              <w:rPr/>
              <w:t>945,16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 xml:space="preserve">     </w:t>
            </w:r>
            <w:r>
              <w:rPr/>
              <w:t>65,00</w:t>
            </w:r>
          </w:p>
          <w:p>
            <w:pPr>
              <w:pStyle w:val="style0"/>
              <w:pBdr>
                <w:top w:val="nil"/>
                <w:left w:val="nil"/>
                <w:bottom w:color="00000A" w:space="0" w:sz="12" w:val="single"/>
                <w:insideH w:color="00000A" w:space="0" w:sz="12" w:val="single"/>
                <w:right w:val="nil"/>
                <w:insideV w:val="nil"/>
              </w:pBdr>
              <w:spacing w:after="0" w:before="0" w:line="100" w:lineRule="atLeast"/>
              <w:contextualSpacing w:val="false"/>
              <w:rPr/>
            </w:pPr>
            <w:r>
              <w:rPr/>
              <w:t xml:space="preserve">   </w:t>
            </w:r>
            <w:r>
              <w:rPr/>
              <w:t>110,00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 xml:space="preserve"> </w:t>
            </w:r>
            <w:r>
              <w:rPr/>
              <w:t>1210,16</w:t>
            </w:r>
          </w:p>
        </w:tc>
        <w:tc>
          <w:tcPr>
            <w:tcW w:type="dxa" w:w="283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Chèques à déposer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</w:r>
          </w:p>
        </w:tc>
        <w:tc>
          <w:tcPr>
            <w:tcW w:type="dxa" w:w="102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72,00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</w:r>
          </w:p>
        </w:tc>
      </w:tr>
    </w:tbl>
    <w:p>
      <w:pPr>
        <w:pStyle w:val="style0"/>
        <w:rPr/>
      </w:pPr>
      <w:r>
        <w:rPr/>
      </w:r>
    </w:p>
    <w:tbl>
      <w:tblPr>
        <w:jc w:val="left"/>
        <w:tblInd w:type="dxa" w:w="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9211"/>
      </w:tblGrid>
      <w:tr>
        <w:trPr>
          <w:cantSplit w:val="false"/>
        </w:trPr>
        <w:tc>
          <w:tcPr>
            <w:tcW w:type="dxa" w:w="9211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Conclusions</w:t>
            </w:r>
          </w:p>
        </w:tc>
      </w:tr>
      <w:tr>
        <w:trPr>
          <w:cantSplit w:val="false"/>
        </w:trPr>
        <w:tc>
          <w:tcPr>
            <w:tcW w:type="dxa" w:w="460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‘</w:t>
            </w:r>
            <w:r>
              <w:rPr/>
              <w:t>Bénéfices’ 01/05/13-01/05/14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‘</w:t>
            </w:r>
            <w:r>
              <w:rPr/>
              <w:t>Liquidité’ le 01/05/14</w:t>
            </w:r>
          </w:p>
        </w:tc>
        <w:tc>
          <w:tcPr>
            <w:tcW w:type="dxa" w:w="460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1986,28 – 848,12 = 1138,16</w:t>
            </w:r>
          </w:p>
          <w:p>
            <w:pPr>
              <w:pStyle w:val="style0"/>
              <w:spacing w:after="0" w:before="0" w:line="100" w:lineRule="atLeast"/>
              <w:contextualSpacing w:val="false"/>
              <w:rPr/>
            </w:pPr>
            <w:r>
              <w:rPr/>
              <w:t>1210,16 – 90,00 – 72,00= 1048,16</w:t>
            </w:r>
          </w:p>
        </w:tc>
      </w:tr>
    </w:tbl>
    <w:p>
      <w:pPr>
        <w:pStyle w:val="style0"/>
        <w:rPr/>
      </w:pPr>
      <w:r>
        <w:rPr/>
      </w:r>
    </w:p>
    <w:p>
      <w:pPr>
        <w:pStyle w:val="style0"/>
        <w:rPr/>
      </w:pPr>
      <w:r>
        <w:rPr/>
        <w:t>NB Cotisation moyenne : 12,98€</w:t>
      </w:r>
    </w:p>
    <w:sectPr>
      <w:type w:val="nextPage"/>
      <w:pgSz w:h="16838" w:w="11906"/>
      <w:pgMar w:bottom="1417" w:footer="0" w:gutter="0" w:header="0" w:left="1417" w:right="1417" w:top="1417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Lucida Sans Unicode" w:hAnsi="Calibri"/>
      <w:color w:val="auto"/>
      <w:sz w:val="22"/>
      <w:szCs w:val="22"/>
      <w:lang w:bidi="ar-SA" w:eastAsia="en-US" w:val="fr-FR"/>
    </w:rPr>
  </w:style>
  <w:style w:styleId="style15" w:type="character">
    <w:name w:val="Default Paragraph Font"/>
    <w:next w:val="style15"/>
    <w:rPr/>
  </w:style>
  <w:style w:styleId="style16" w:type="character">
    <w:name w:val="Texte de bulles Car"/>
    <w:basedOn w:val="style15"/>
    <w:next w:val="style16"/>
    <w:rPr>
      <w:rFonts w:ascii="Tahoma" w:cs="Tahoma" w:hAnsi="Tahoma"/>
      <w:sz w:val="16"/>
      <w:szCs w:val="16"/>
    </w:rPr>
  </w:style>
  <w:style w:styleId="style17" w:type="character">
    <w:name w:val="ListLabel 1"/>
    <w:next w:val="style17"/>
    <w:rPr>
      <w:rFonts w:cs="Calibri"/>
    </w:rPr>
  </w:style>
  <w:style w:styleId="style18" w:type="character">
    <w:name w:val="ListLabel 2"/>
    <w:next w:val="style18"/>
    <w:rPr>
      <w:rFonts w:cs="Courier New"/>
    </w:rPr>
  </w:style>
  <w:style w:styleId="style19" w:type="paragraph">
    <w:name w:val="Titre"/>
    <w:basedOn w:val="style0"/>
    <w:next w:val="style20"/>
    <w:pPr>
      <w:keepNext/>
      <w:spacing w:after="120" w:before="240"/>
      <w:contextualSpacing w:val="false"/>
    </w:pPr>
    <w:rPr>
      <w:rFonts w:ascii="Arial" w:cs="Mangal" w:eastAsia="Lucida Sans Unicode" w:hAnsi="Arial"/>
      <w:sz w:val="28"/>
      <w:szCs w:val="28"/>
    </w:rPr>
  </w:style>
  <w:style w:styleId="style20" w:type="paragraph">
    <w:name w:val="Corps de texte"/>
    <w:basedOn w:val="style0"/>
    <w:next w:val="style20"/>
    <w:pPr>
      <w:spacing w:after="120" w:before="0"/>
      <w:contextualSpacing w:val="false"/>
    </w:pPr>
    <w:rPr/>
  </w:style>
  <w:style w:styleId="style21" w:type="paragraph">
    <w:name w:val="Liste"/>
    <w:basedOn w:val="style20"/>
    <w:next w:val="style21"/>
    <w:pPr/>
    <w:rPr>
      <w:rFonts w:cs="Mangal"/>
    </w:rPr>
  </w:style>
  <w:style w:styleId="style22" w:type="paragraph">
    <w:name w:val="Légende"/>
    <w:basedOn w:val="style0"/>
    <w:next w:val="style22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3" w:type="paragraph">
    <w:name w:val="Index"/>
    <w:basedOn w:val="style0"/>
    <w:next w:val="style23"/>
    <w:pPr>
      <w:suppressLineNumbers/>
    </w:pPr>
    <w:rPr>
      <w:rFonts w:cs="Mangal"/>
    </w:rPr>
  </w:style>
  <w:style w:styleId="style24" w:type="paragraph">
    <w:name w:val="List Paragraph"/>
    <w:basedOn w:val="style0"/>
    <w:next w:val="style24"/>
    <w:pPr>
      <w:spacing w:after="200" w:before="0"/>
      <w:ind w:hanging="0" w:left="720" w:right="0"/>
      <w:contextualSpacing/>
    </w:pPr>
    <w:rPr/>
  </w:style>
  <w:style w:styleId="style25" w:type="paragraph">
    <w:name w:val="Balloon Text"/>
    <w:basedOn w:val="style0"/>
    <w:next w:val="style25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2014-05-12T14:09:00Z</dcterms:created>
  <dc:creator>liards</dc:creator>
  <cp:lastModifiedBy>Astride</cp:lastModifiedBy>
  <cp:lastPrinted>2014-05-12T14:01:00Z</cp:lastPrinted>
  <dcterms:modified xsi:type="dcterms:W3CDTF">2014-05-29T19:46:00Z</dcterms:modified>
  <cp:revision>4</cp:revision>
</cp:coreProperties>
</file>